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«Миллениум Групп» обратилось в Арбитражный суд Сахалинской области с иском, уточненным в порядке статьи 49 Арбитражного процессуального кодекса Российской Федерации, о взыскании с индивидуального предпринимателя ФИО1 2 300 872 рублей авансового платежа по договору от 02.06.2016 № 004/2016 по перевозке строительного материала. Решением Арбитражного суда Сахалинской области от 06.05.2019 иск удовлетворен. Определением Пятого арбитражного апелляционного суда от 13.08.2019 апелляционная жалоба предпринимателя возвращена на основании пункта 3 части 1 статьи 264 АПК РФ в связи с отказом в удовлетворении ходатайства о восстановлении пропущенного срока на апелляционное обжалование. Арбитражный суд Дальневосточного округа постановлением от 03.10.2019 определение суда апелляционной инстанции оставил без изменения. Индивидуальный предприниматель Ким Наталья Юрьевна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Поскольку решение Арбитражного суда Сахалинской области от 06.05.2019 не было предметом рассмотрения по существу в суде апелляционной инстанции, кассационная жалоба на решение суда первой инстанции не подлежит рассмотрению как поданная с нарушением правил подсудности, установленных пунктом 1 части 2 статьи 291.1 АПК РФ . Кассационная жалоба на определение суда апелляционной инстанции и постановление окружного суда подана в порядке, предусмотренном статьями 291.1 – 291.3 АПК РФ , и подлежит рассмотрению в порядке кассационного производства в соответствии со статьями 291.1 – 291.15 АПК РФ.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Статьей 259 АПК РФ предусмотрено, что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подачи апелляционной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статье 42 АПК РФ , со дня, когда это лицо узнало или должно было узнать о нарушении его прав и законных интересов обжалуемым судебным актом. Ходатайство о восстановлении срока подачи апелляционной жалобы рассматривается арбитражным судом апелляционной инстанции в порядке, предусмотренном статьей 117 АПК РФ . Арбитражный суд апелляционной инстанции возвращает апелляционную жалобу, если при рассмотрении вопроса о принятии апелляционной жалобы к производству установит, что апелляционная жалоба подана по истечении срока подачи апелляционной жалобы, установленного в АПК РФ, и в восстановлении пропущенного срока на подачу апелляционной жалобы отказано (пункт 3 части 1 статьи 264 АПК РФ ). Судом апелляционной инстанции установлено, что, обратившись с апелляционной жалобой 29.07.2019 на решение суда первой инстанции от 06.05.2019, заявитель пропустил установленный частью 1 статьи 259 АПК РФ месячный срок на обжалование. Отказывая в удовлетворении ходатайства о восстановлении пропущенного срока подачи апелляционной жалобы, суд апелляционной инстанции оценил приведенные причины пропуска срока и пришел к выводу о том, что они не являются уважительными, установив, что предприниматель была надлежащим образом уведомлена о начавшемся процессе, о судебном заседании и о результатах рассмотрения искового заявления в соответствии с пунктом 3 части 4 статьи 123 АПК РФ . Действуя разумно и добросовестно, предприниматель должна была обеспечить прием почтовой корреспонденции по внесенному в ЕГРИП адресу (месту жительства) или принять меры к информированию почтового отделения связи по месту нахождения о необходимости пересылки почтовой корреспонденции по иному адресу своего местонахождения. Проверив законность вынесенного определения суда апелляционной инстанции,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 согласившись с выводом суда апелляционной инстанции об отсутствии оснований для восстановления пропущенного срока. Неправильного применения судами апелляционной и кассационной инстанций статей 117 , 123 , 259 , 264 АПК РФ не установлено. Выводы судов не противоречат разъяснениям Пленума Высшего Арбитражного Суда Российской Федерации, изложенным в постановлении от 25.12.2013 № 99 «О процессуальных сроках». Доводы жалобы выводы судов не опровергают, не подтверждают существенных нарушений норм процессуального права, повлиявших на исход рассмотрения ходатайства,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"Миллениум Групп"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