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25.01.2019, оставленным без изменения постановлением Двенадцатого арбитражного апелляционного суда от 20.05.2019 и постановлением Арбитражного суда Поволжского округа от 18.09.2019, в удовлетворении заявленного требования отказано. В кассационных жалобах, поданных в Верховный Суд Российской Федерации, администрация и комитет, ссылаясь на существенное нарушение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25.01.2017 № 167 «О предоставлении субсидий на возмещение затрат по содержанию, техническому обслуживанию, текущему ремонту кабельных и воздушных линий электропередач наружного освещения, находящихся в муниципальной собственности» (далее – Постановление № 167), устанавливающего конкретного получателя субсидий – предприятия и препятствия добросовестной ценовой и неценовой конкуренции между потенциальными участниками торгов, приводящего к невозможности экономии бюджетных средств.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1, 15 Закона о защите конкуренции, статей 72 ,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статей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нужд», статей 210 , 294 , 295 Гражданского кодекса Российской Федерации, принимая во внимание Положение о предоставлении субсидий на возмещение затрат по содержанию, техническому обслуживанию, текущему ремонту кабельных и воздушных линий электропередач наружного освещения, находящихся в муниципальной собственности, утвержденное Постановлением № 167, пришли к выводу о наличии у управления правовых оснований для принятия решения ввиду доказанности неправомерного предоставления администрацией предприятию преимущества и ограничения конкуренции между потенциальными участниками торгов. Судебные инстанции отметили, что рынок работ по содержанию, техническому обслуживанию, текущему ремонту кабельных и воздушных линий электропередач наружного освещения является конкурентным, однако установленные Постановлением № 167 критерии отбора получателя субсидии не предусматривают ситуацию наличия нескольких претендентов. Напротив, предоставление предприятию на праве хозяйственного ведения объектов электросетевого хозяйства, находящихся в муниципальной собственности, свидетельствует об отсутствии у иных хозяйствующих субъектов права на получение субсидии по указанному постановлению. Кроме того, принятие Постановления № 167 исключает возможность экономии бюджетных средств и не соответствует принципам эффективности, адресности, целевому характеру использования бюджетных средств.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УФАС по СО (подробнее) Ответчики: Администрация МО "Город Саратов" (подробнее) УФАС по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