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«Модум-Транс» обратилось в Арбитражный суд города Москвы с иском о взыскании с общества с ограниченной ответственностью «ТрейдИнертГрупп» 1 412 700 рублей штрафа за сверхнормативный простой вагонов и 21 840 рублей 30 копеек расходов на получение справки. Решением Арбитражного суда города Москвы от 12.04.2019 иск удовлетворен в части взыскания 750 000 рублей штрафа и 21 840 рублей 30 копеек расходов; в удовлетворении иска в остальной части отказано. Постановлением Девятого арбитражного апелляционного суда от 22.07.2019 решение суда первой инстанции изменено и иск удовлетворен в полном объеме. Арбитражный суд Московского округа постановлением от 22.10.2019 постановление суда апелляционной инстанции оставил без изменения. Общество с ограниченной ответственностью «ТрейдИнертГрупп»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условий договора об оказании услуг по предоставлению железнодорожного подвижного состава в виде сверхнормативного простоя вагонов, поданных истцом под погрузку, а также несение истцом расходов по оплате справки, руководствуясь положениями статей 329 , 330 Гражданского кодекса Российской Федерации, суды пришли к выводу о наличии оснований для взыскания штрафа и расходов. Изменяя решение суда первой инстанции, суд апелляционной инстанции руководствовался статьей 333 Гражданского кодекса Российской Федерации, разъяснениями, содержащимися в пункте 72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того, что ответчик при рассмотрении дела судом первой инстанции не заявлял о применении статьи 333 Гражданского кодекса Российской Федерации и в силу статей 9 и 41 Арбитражного процессуального кодекса Российской Федерации несет риск наступления последствий несовершения указанных процессуальных действий.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«ТрейдИнертГрупп»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"Модум-Транс" (подробнее) Ответчики: ООО "ТрейдИнертГрупп"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