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06.02.2019, оставленным без изменения постановлением Двенадцатого арбитражного апелляционного суда от 21.05.2019 и постановлением Арбитражного суда Поволжского округа от 26.09.2019, в удовлетворении заявленного требования отказано. В кассационных жалобах, поданных в Верховный Суд Российской Федерации, администрация и комитет, ссылаясь на существенное нарушение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19.01.2017 № 109 «О предоставлении субсидий на возмещение затрат по круглосуточному содержанию сетей ливневой канализации и дренажа общегородского назначения» (далее – Постановление № 109), устанавливающего конкретного получателя субсидий – предприятия и препятствия добросовестной конкуренции между потенциальными участниками торгов.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4, 15 Закона о защите конкуренции, статьи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статьи 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приказа Минтранса России от 16.11.2012 № 402 «Об утверждении Классификации работ по капитальному ремонту, ремонту и содержанию автомобильных дорог», статей 3,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нужд», принимая во внимание Положение о предоставлении субсидий, утвержденное Постановлением № 109, решение Саратовской городской Думы от 15.12.2016 № 9-67 «О бюджете муниципального образования «Город Саратов» на 2017 год», пришли к выводу о наличии у управления правовых оснований для принятия решения ввиду доказанности неправомерного предоставления администрацией преимущества предприятию и ограничения конкуренции между иными потенциальными участниками торгов. Судебные инстанции исходили из того, что Положение о предоставлении субсидии, утвержденное Постановлением № 109, не предусматривает критерии определения получателя субсидии, в связи с чем невозможно установить, каким образом комитет осуществляет отбор получателя субсидии, в том числе кому и в каком соотношении будут предоставлены субсидии в случае наличия нескольких претендентов. При этом Постановлением № 109 установлен конкретный получатель субсидии - предприятие. Вместе с тем, деятельность по содержанию сетей ливневой канализации и дренажа общегородского назначения относится к вопросам местного значения городского округа и является муниципальной нуждой; рынок выполнения работ по обеспечению бесперебойного функционирования объектов теплоснабжения, водоснабжения и водоотведения, находящихся в муниципальной собственности, является конкурентным. При таких обстоятельствах, комитет, выделив субсидию предприятию в отсутствие конкурентных процедур (без осуществления закупок для муниципальных нужд), предоставил данному лицу преимущество, ограничив тем самым конкуренцию между потенциальными участниками торгов.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МО "Город Саратов" (подробнее) Ответчики: УФАС по СО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