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25.11.2019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Принимая во внимание положения части 3 статьи 291.5 Арбитражного процессуального кодекса Российской Федерации, согласно которым возвращение кассационной жалобы не препятствует повторному обращению с кассационной жалобой после устранения обстоятельств, послуживших основанием для ее возвращения, учитывая своевременное направление первоначальной жалобы (28.10.2019), а также оперативное устранение заявителем причин, послуживших основанием для возврата первоначально поданной жалобы, в целях обеспечения процессуальных гарантий, вытекающих из права на судебную защиту, включающего и право на обжалование судебных постановлений, ходатайство о восстановлении срока подлежит удовлетворению, пропущенный срок подлежит восстановлению.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«ИнТехСервис- Плюс»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 Суд: Верховный Суд РФ (подробнее) Истцы: ООО "ИнТехСервис-Плюс" (подробнее) Ответчики: ГУ Кировское региональное отделение Фонда социального страхования РФ (подробнее) Судьи дела: Першутов А.Г. (судья) (подробнее) Последние документы по делу: Определение от 22 января 2020 г. по делу № А28-13647/2018 Определение от 28 ноября 2019 г. по делу № А28-13647/2018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