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19.03.2019, оставленным без изменения постановлением Тринадцатого арбитражного апелляционного суда от 12.07.2019 и постановлением Арбитражного суда Северо-Западного округа от 25.10.2019, с общества в пользу холдинга взыскано 340 336 руб. 18 коп. процентов, 1 688 342 руб. убытков, в удовлетворении остальной части иска отказано. В кассационной жалобе, поданной в Верховный Суд Российской Федерации, общество, просит отменить указанные судебные акты, ссылаясь на их незаконность.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требования холдинга мотивированы тем, что ему на основании заключенного с третьим лицом соглашения об уступке прав от 24.08.2018 перешло право требования к обществу уплаты штрафных санкций, в том числе убытков в связи с неисполнением (ненадлежащим исполнением) обязательств по договору купли-продажи от 01.04.2009 № К5490-Z-ШО/25А_II-21.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положениями статей 15 , 393 , 393.1 Гражданского кодекса Российской Федерации,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установив неисполнение обществом обязательств по договору купли-продажи, неосновательное удержание им денежных средств после расторжения указанного договора третьим лицом, факт причинения последнему убытков, пришли к выводу о наличии оснований для частичного удовлетворения исковых требований (с учетом уменьшения размера процентов). С указанными выводами впоследствии согласился суд округа. Доводы заявителя о допущенных процессуальных нарушениях, выразившихся в принятии увеличения размера исковых требований, при обоснованности заявленного иска не подтверждают наличие существенных нарушений, которые повлияли на результат рассмотрения спора, и которые могли быть основанием для передачи дела в судебное заседание для пересмотра судебных актов. Таким образом, оснований для передачи кассационной жалобы для рассмотрения в судебном заседании Судебной коллегии Верховного Суда Российской Федерации не имеется.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«ЛП»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"ЮАП Холдинг" (подробнее) Ответчики: ООО "ЛП" (подробнее) Иные лица: МИФНС РОСИИ №11 ПО Санкт-ПетербургУ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