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29.03.2019, оставленным без изменения постановлением Тринадцатого арбитражного апелляционного суда от 05.06.2019, в удовлетворении заявленного требования отказано. Постановлением Арбитражного суда Северо-Западного округа от 26.09.2019 указанные судебные акты оставлены без изменения. Общество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действия двух групп лиц (в том числе общества) признаны нарушением пункта 2 части 1 статьи 11 Федерального закона от 26.07.2006 № 135-ФЗ «О защите конкуренции», что выразилось в заключении и участии в антиконкурентном соглашении, которое привело к поддержанию цены на торгах на поставку оборудования для криминалистических исследований. Выявленное нарушение послужило основанием для составления протокола и вынесения антимонопольным органом оспариваемого постановления о привлечении общества к ответственности по части 2 статьи 14.32 Кодекса Российской Федерации об административных правонарушениях. Оценив представленные доказательства, суды пришли к выводу о наличии в действиях общества правонарушения, ответственность за совершение которого предусмотрена частью 2 статьи 14.32 Кодекса Российской Федерации об административных правонарушениях. При этом суды учли установленные в рамках дела № А40-88709/2018 Арбитражного суда города Москвы обстоятельства, свидетельствующие, что реализация антиконкурентного соглашения выразилась в имитации конкуренции при совместном участии в торгах, а также в отказе от участия в торгах в пользу других участников соглашения; после заключения государственного контракта компании заключали договоры поставки с минимальным снижением начальной цены. То обстоятельство, что Законом № 74-ФЗ внесены изменения в статью 14.32 Кодекса Российской Федерации об административных правонарушениях, устанавливающие дифференциацию административной ответственности за заключение и участие в различных видах антиконкурентных соглашений, само по себе не означает, что величина наказания для общества, совершившего правонарушение в конкретной сфере общественных отношений, связанной с проведением торгов, изменилась. Доказательств иного не представлено. Другие доводы направлены на переоценку установленных судами фактических обстоятельств, что само по себе не является основанием для отмены судебных актов в кассационном порядке. Суды признали, что назначенный штраф соответствует характеру и последствиям совершенного правонарушения, степени вины привлекаемого к административной ответственности юридического лица, что отвечает принципами законности, справедливости, неотвратимости и целесообразности юридической ответственности.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"Восточно-Европейская управляющая компания" (подробнее) Ответчики: Федеральная антимонопольная служба (подробнее) Иные лица: Управление Федеральной антимонопольной службы по Санкт-Петербургу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