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27.09.2019 обратилось в Верховный Суд Российской Федерации с кассационной жалобой, поданной в электронном виде,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26.09.2019,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доводы общества, суд полагает возможным восстановить пропущенный процессуальный срок на обжалование судебных актов в кассационном порядке.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«Угличкабель»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Д.В. Тютин Суд: Верховный Суд РФ (подробнее) Последние документы по делу: Определение от 22 января 2020 г. по делу № А40-167240/2018 Определение от 29 ноября 2019 г. по делу № А40-167240/2018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