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15.11.2019, оставленным без изменения постановлением Девятого арбитражного апелляционного суда от 07.06.2019 и постановлением Арбитражного суда Московского округа от 23.09.2019,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поставки нефтепродуктов от 13.11.2013 № 222/1559-П, дополнительного соглашения от 13.11.2013, а также обстоятельства исполнения сторонами договора, руководствуясь статьями 15 , 309 , 310 , 457 , 458 , 487 , 523 Гражданского кодекса Российской Федерации, суды первой и апелляционной инстанций, с которыми впоследствии согласился суд округа, пришли к выводу о правомерности первоначального иска и отсутствии оснований для удовлетворения встречного иска. Выводы судов подробно мотивированы,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норм материального и процессуального права, повлиявших на исход дела,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«Евробитум»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"Устой-М" (подробнее) Ответчики: ООО "Евробитум"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