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22.04.2019, оставленным без изменения постановлением Десятого арбитражного апелляционного суда от 10.07.2019 и постановлением Арбитражного суда Московского округа от 24.09.2019, исковые требования удовлетворены. В кассационной жалобе общество «Росагроимпорт» просит о пересмотре судебных актов, ссылаясь на принятие в обоснование наличия задолженности недопустимых доказательств и игнорирование отсутствия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506 , 516 Гражданского кодекса Российской Федерации, суды удовлетворили иск по установленным фактам поставки истцом товара в рамках контракта от 22.04.2016 № RAI/001 и неоплаты его ответчиком.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«Росагроимпорт»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"Араратский винный завод" (подробнее) Ответчики: ООО "Росагроимпорт"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