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19.02.2019, оставленным без изменения постановлением Девятого арбитражного апелляционного суда от 27.05.2019 и постановлением Арбитражного суда Московского округа от 18.09.2019, в удовлетворении иска отказано. В кассационной жалобе, поданной в Верховный Суд Российской Федерации, компания, ссылаясь на нарушение судами норм материального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 , 309 , 310 , 330 , 708 , 718 Гражданского кодекса Российской Федерации, установив факт нарушения истцом условий договора, выразившегося в передаче ответчику вагонов для выполнения ремонтных работ позднее согласованного сторонами срока, пришли к выводу об отсутствии оснований для удовлетворения иска.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по существу сводятся к несогласию заявителя с оценкой доказательств, данной судами, и установленными фактическими обстоятельствами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«Федеральная пассажирская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"Федеральная пассажирская компания" (подробнее) Ответчики: АО Вагонреммаш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