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Ивановской области от 15.11.2018, оставленным без изменения постановлением Второго арбитражного апелляционного суда от 22.02.2019 и постановлением Арбитражного суда Волго-Вятского округа от 20.06.2019, с общества «Нева Стройсервис» в пользу общества «ГрадСтрой» взыскано 455 400 руб. задолженности, 186 714 руб. неустойки, в удовлетворении остальной части исковых требований отказано. В кассационной жалобе, поданной в Верховный Суд Российской Федерации, общество «Нева Стройсервис», ссылаясь на нарушение судами норм материального и процессуального права, просит отменить указанные судебные акты и принять новый судебный акт об отказе в удовлетворении исковых требований. По смыслу части 1 статьи 291.1 , части 7 статьи 291.6 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кассационной жалобы не установлено. Общество «ГрадСтрой» (подрядчик), обращаясь в арбитражный суд с иском по настоящему делу, сослалось на ненадлежащее исполнение обществом «Нева Стройсервис» (заказчиком) обязательств по оплате работ, выполненных подрядчиком в рамках договора строительного подряда от 30.08.2017. Суды первой и апелляционной инстанций, оценив по правилам статьи 71 Арбитражного процессуального кодекса Российской Федерации представленные в материалы дела доказательства, в том числе экспертное заключение, руководствуясь статьями 8 , 12 , 329 , 708 , 711 , 723 , 743 , 753 Гражданского кодекса Российской Федерации, пришли к выводу о наличии оснований для удовлетворения исковых требований (с учетом произведенной корректировки расчета неустойки). При этом суды исходили из подтвержденности факта выполнения подрядчиком работ, передачи их результата заказчику и отсутствия доказательств, свидетельствующих о наличии в выполненных работах существенных и неустранимых недостатков, а также об их полной оплате. С указанными выводами впоследствии согласился суд округа. Доводы кассационной жалобы не опровергают выводы судов, не подтверждают существенных нарушений судами норм материального и процессуального права, повлиявших на исход дела, и по существу сводятся к несогласию заявителя с оценкой доказательств, что не относится к полномочиям суда при кассационном производстве.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«Нева Стройсервис»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"Градстрой" (подробнее) Ответчики: ООО "Нева стройсервис" (подробнее) Иные лица: ООО "Альянс Проект" (подробнее) ООО "Бюро независимой оценки и судебных экспертиз" (подробнее) Последние документы по делу: Определение от 21 января 2020 г. по делу № А17-10667/2017 Определение от 30 сентября 2019 г. по делу № А17-10667/2017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