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30.04.2019, оставленным без изменения постановлением Девятого арбитражного апелляционного суда от 28.06.2019 и постановлением Арбитражного суда Московского округа от 14.10.2019, в удовлетворении первоначального и встречного исков отказано. В кассационной жалобе, поданной в Верховный Суд Российской Федерации, общество, ссылаясь на нарушение судами норм материального права, просит изменить указанные судебные акты в части отказа в удовлетворении встречного иска.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Требования общества мотивированы наличием на стороне корпорации неосновательного обогащения, возникшего в результате получения неустойки за счет выплаты по предоставленной в рамках договора банковской гарантии.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пришли к выводу об отсутствии на стороне корпорации неосновательного обогащения, исходя из правомерности начисления последней неустойки в связи с нарушением обществом срока выполнения работ по договору. При таких обстоятельствах, руководствуясь статьями 330 , 1102 Гражданского кодекса Российской Федерации, суды отказали в удовлетворении заявленного обществом требования, с чем впоследствии согласился суд округа. Доводы заявителя о несогласии с определенным судами размером неустойки не могут быть признаны основанием для отмены обжалуемых судебных актов в кассационном порядке, поскольку не свидетельствуют о нарушении судами норм материального или процессуального права и направлены на иную оценку доказательств и фактических обстоятельств дела. При таком положении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Принимая во внимание изложенное и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«ЕРСМ Сибири»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АО "Корпорация развития Дальнего Востока" (подробнее) Ответчики: ООО "ЕРСМ Сибири"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