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14.02.2019, оставленным без изменения постановлениями Девятого арбитражного апелляционного суда от 06.06.2019 и Арбитражного суда Московского округа от 24.09.2019,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конкурса с ограниченным участием на разработку проектной документации с выполнением функций технического заказчика на выполнение производственных работ по сохранению с приспособлением под современное использование объекта культурного наследия регионального значения, в связи с чем на него возложена обязанность передать подписанный контракт и документ, подтверждающий обеспечение исполнения обязательств. Поскольку заявителем не исполнена обязанность по заключению контракта в установленные законом сроки, заказчик обратился в антимонопольный орган с заявлением о включении сведений об обществе в реестр недобросовестных поставщиков по причине уклонения его от заключения контракта. По результатам рассмотрения заявления управлением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10 , 401 Гражданского кодекса Российской Федерации, статей 54,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пришли к выводу о соответствии ненормативного акта действующему законодательству с учетом установленных обстоятельств по делу. При этом судебные инстанции исходили из наличия у общества времени для осуществления действий, направленных на соблюдение сроков, установленных законом для подписания контракта. Суды отметили, что несоблюдение победителем торгов порядка заключения государственного контракта никоим образом не должно нарушать права и законные интересы заказчика, который вправе рассчитывать на заключение интересующего его контракта, а также не освобождает победителя торгов от обязанности по представлению документов в установленный срок. Доводы, изложенные в кассационной жалобе, направлены на переоценку установленных обстоятельств по делу и представленных в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"АК-Проект" (подробнее) Ответчики: Управление Федеральной антимонопольной службы по г. Москве (подробнее) Судьи дела: Антонова М.К.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