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20.03.2019, оставленным без изменения постановлением Семнадцатого арбитражного апелляционного суда от 20.06.2019 и постановлением Арбитражного суда Уральского округа от 26.09.2019, производство по первоначальному иску в части требований о взыскании процентов на основании статей 317.1 и 395 Гражданского кодекса Российской Федерации прекращено в связи с отказом общества от этой части требований, в остальной части первоначальный иск удовлетворен; встречный иск удовлетворен; произведен зачет удовлетворенных требований. В кассационной жалобе, поданной в Верховный Суд Российской Федерации, общество просит отменить указанные судебные акты как принятые с нарушением норм материального и процессуального права, выражая несогласие с выводами судов в части удовлетворения встречного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Основанием для обращения компании (покупателя) в арбитражный суд с иском о взыскании с общества (поставщика) расходов на устранение недостатков товара послужило обнаружение скрытых недостатков поставленного по договору поставки от 17.01.2017 № 4/17 товара – противопожарных дверей и последующий ремонт товара покупателем.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456 , 469 , 475 , 506 , 513 Гражданского кодекса Российской Федерации, суды первой и апелляционной инстанций пришли к выводу о наличии оснований для удовлетворения требования компании, исходя из подтвержденности наличия у поставленного товара недостатков, а также стоимости расходов на их устранение. Доводы кассационной жалобы были предметом рассмотрения судов и получили правовую оценку, не опровергают выводы судов, направлены на переоценку установленных судами обстоятельств,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«Торговый дом Промторг»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"АРБИТР " ЦЕНТР НЕЗАВИСИМЫХ ЭКСПЕРТИЗ" (подробнее) ООО ТОРГОВЫЙ ДОМ ПРОМТОРГ (подробнее) Ответчики: ООО ПОЖРЕСУРС-УРАЛ (подробнее) Судьи дела: Чучунова Н.С.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