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обоснование ходатайства предприниматель указывает, что уже обращался с аналогичной кассационной жалобой в установленные законом сроки, однако жалоба была возвращена без рассмотрения по причине нарушения пункта 2 части 5 статьи 291.3 Арбитражного процессуального кодекса Российской Федерации (далее - АПК РФ). 2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предприниматель первоначально обратился с кассационной жалобой в пределах установленного законом срока и после возвращения жалобы незамедлительно устранил недостатки, послужившие основанием для ее возвращения, суд полагает возможным удовлетворить заявленное ходатайство.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Мысина Дмитрия Петровича удовлетворить. Срок подачи кассационной жалобы на решение Арбитражного суда Краснодарского края от 22.04.2019, постановление Пятнадцатого арбитражного апелляционного суда от 11.07.2019 и постановление Арбитражного суда Северо-Кавказского округа от 24.10.2019 по делу № А32-46507/2018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