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17.12.2018, оставленным без изменения постановлением Семнадцатого арбитражного апелляционного суда от 15.04.2019, исковые требования удовлетворены. Арбитражный суд Уральского округа постановлением от 09.09.2019 решение от 17.12.2018 и постановление Семнадцатого арбитражного апелляционного суда от 15.04.2019 оставил без изменения. В кассационной жалобе акционерное общество «СтройПанельКомплект» просит об отмене судебных актов, ссылаясь на необоснованную оценку заключенных сторонами договоров как исключительно агентских, а подлежащего выплате вознаграждения – независимого от объема и результата работ.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взыскали с ответчика агентское вознаграждение в связи установленным надлежащим выполнением истцом (агентом) обязательств по агентским договорам от 20.09.2013 № 106, от 07.03.2014 № 118, от 12.03.2014 № 117 и в соответствии со статьями 424 , 1005 , 1006 Гражданского кодекса Российской Федерации. Суды компетентны на определение причитающегося вознаграждения применительно к условиям договоров без привлечения эксперта. Иные видение заявителем обстоятельств дела и толкование условий агентских договоров, к которому сводятся доводы кассационной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«СтройПанельКомплект»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"Изолит-С" (подробнее) Ответчики: АО "СТРОЙПАНЕЛЬКОМПЛЕКТ"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