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Магаданской области от 18.02.2019, оставленным без изменения постановлением Шестого арбитражного апелляционного суда от 13.05.2019 и постановлением Арбитражного суда Дальневосточного округа от 09.09.2019, иск удовлетворен. В кассационной жалобе общество просит о пересмотре указанных судебных актов как незаконных вследствие неисполнения обязательства по независящим от него причинам и уведомление в связи с ними заказчика о приостановлении исполнения работ.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исполнения государственного контракта от 03.10.2017 № 60/2017 по представленным сторонами доказательствам и руководствуясь статьями 405 , 702 , 711 Гражданского кодекса Российской Федерации, суды установили нарушение срока выполнения работ как основание для взыскания неустойки. Наличие освобождающих от ответственности за просрочку обстоятельств и информирование о них как об основании для приостановления работ заказчика обсуждено в связи с возражениями заявителя, но не установлено. Иная оценка заявителем исполнения обязательств и его последствий, изложенная в жалобе, не образует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«МагаданРегионСтрой»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Министерство строительства, жилищно-коммунального хозяйства и энергетики Магаданской области (подробнее) Ответчики: ООО "МагаданРегионСтрой" (подробнее) Судьи дела: Ксенофонтова Н.А.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