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28.11.2018, оставленным без изменения постановлением Восемнадцатого арбитражного апелляционного суда от 16.04.2019 и постановлением Арбитражного суда Уральского округа от 18.09.2019,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оспариваемой части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сделкам с ООО «УралИнвестСтрой», «Спецмонтаж», ООО НПФ «Ск»-Group», ООО ТД «Евразия» и ООО «Сигма», а также необоснованным применением налоговых вычетов на основании счетов- фактур, выставленных от имени названных контрагентов. Оценив представленные в материалы дела доказательства, суды, руководствуясь положениями статей 169 , 171 , 172 , 247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 в указанной части. Судебные инстанции исходили из того, что представленные обществом в подтверждение расходов и налоговых вычетов первичные документы не соответствуют требованиям, установленным законодательством о налогах и сборах и законодательством о бухгалтерском учете, содержат недостоверные сведения и не подтверждают реальность хозяйственных операций общества с заявленными в них контрагентами. При этом контрагенты общества обладают признаками номинальных организаций и не могли осуществить работы, предусмотренные договорами подряда; фактически работы выполнены силами самого общества. Доводы о нарушении судами при рассмотрении дела принципов законности, равноправия и состязательности сторон (статей 6 , 8 , 9 Арбитражного процессуального кодекса Российской Федерации) подлежат отклонению как не нашедшие своего подтверждения в ходе рассмотрения кассационной жалобы. Доводы, изложенные в кассационной жалобе, повторяют позицию общества по спору, являлись предметом рассмотрения судов и получили правовую оценку с учетом установленных обстоятельств спора.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"Проммонтаж" (подробнее) Ответчики: Межрайонная инспекция Федеральной налоговой службы №19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