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15.11.2018 взысканы 66 000 рублей страхового возмещения, 8 100 рублей расходов в связи с оформлением ДТП, 11 000 рублей расходов на услуги независимого оценщика, уменьшенной до 8 682 рублей 50 копеек неустойки за период с 18.04.2018 по 10.05.2018, неустойка в размере 0,5% за каждый день просрочки с 11.05.2018 и далее по день фактической уплаты страхового возмещения, 5 000 рублей расходов на услуги представителя, 1 646 рублей почтовых расходов. Первый арбитражный апелляционный суд постановлением от 08.05.2019 отменил решение от 15.11.2018 и отказал в удовлетворении иска в связи с отсутствием законного основания для выплаты страхового возмещения в денежном выражении. Арбитражный суд Волго-Вятского округа постановлением от 25.09.2019 постановление Первого арбитражного апелляционного суда от 08.05.2019 оставил без изменения. В кассационной жалобе предприниматель просит об отмене судебных актов апелляционного и окружного судов как незаконных, ссылаясь на ненадлежащее выполнение страховщиком обязанности по выдаче направления на ремонт.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наличии у него права требования к страховщику как у лица, возместившего убытки потерпевшего (третьего лица), противоречит пунктам 15.1 - 15.3 статьи 12 Федерального закона от 25.04.2002 № 40-ФЗ «Об обязательном страховании гражданской ответственности владельцев транспортных средств», предусматривающим возмещение причиненного вреда в натуре посредством организации и (или) оплаты ремонта поврежденного транспортного средства на станции технического обслуживания. Определенный законом порядок осуществления страхового возмещения по договорам ОСАГО не может быть изменен путем заключения договора о компенсации убытков. Поскольку на момент заключения договора между предпринимателем и третьим лицом у последнего отсутствовало право требования осуществления страхового возмещения в денежном выражении, оно не могло быть передано предпринимателю на основании договора. Ссылка заявителя на нарушение практики рассмотрения аналогичных дел неосновательна, поскольку, возместив потерпевшему убытки при совершении страховщиком положенных в силу закона действий для их возмещения (выдаче направления на ремонт в отсутствие доказательств его реализации), истец принял на себя риск неполучения компенсации убытков от страховщика, в которой суды ему правомерно отказали.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Цветнов Виталий Николаевич (подробнее) Ответчики: ПАО СК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