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«ВолгаСтройСервис» обратилось в суд с заявлением о включении в реестр требований кредиторов должника его требования в размере 15 100 000 рублей. Конкурсный управляющий должником ФИО2 обратился в суд с заявлением к обществу с ограниченной ответственностью «АСК Элита» о признании недействительными сделок должника – соглашения об отступном от 30.09.2014 к договору займа от 12.04.2011, а также договор купли-продажи от 27.10.2014. Определением Арбитражного суда Самарской области от 01.03.2018, оставленным без изменения постановлением Одиннадцатого арбитражного апелляционного суда от 12.07.2018, требование общества «ВолгаСтройСервис» признано обоснованным и включено в третью очередь реестра; в удовлетворении заявления конкурсного управляющего должником отказано. Постановлением Арбитражного суда Поволжского округа от 25.09.2018 вышеуказанные судебные акты отменены, обособленный спор направлен на новое рассмотрение в Арбитражный суд Самарской области. В кассационных жалобах, поданных в Верховный Суд Российской Федерации, заявители просят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обособленному спору судебные акты, суд округа, руководствуясь статьями 71 и 10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признал изложенные в них выводы основанными на неполном выяснении фактических обстоятельств дела и имеющихся в нём доказательств. Ввиду изложенного, необходимости оценки доводов сторон, представленных в дело доказательств и обстоятельств, имеющих существенное значение для принятия законных и обоснованных судебных актов по делу,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заявители не лишены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заявленных требований не был окончательно разрешён.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«ВолгаСтройСервис» и ФИО1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"ВолгаТрэйд" (подробнее) Судьи дела: Корнелюк Е.С. (судья) (подробнее) Последние документы по делу: Определение от 20 января 2020 г. по делу № А55-32090/2016 Определение от 22 июля 2019 г. по делу № А55-32090/2016 Определение от 16 января 2019 г. по делу № А55-32090/2016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