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19.02.2019, оставленным без изменения постановлением Тринадцатого арбитражного апелляционного суда от 05.06.2019 и постановлением Арбитражного суда Северо-Западного округа от 23.09.2019, в удовлетворении иска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исковое требование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во исполнение заключенного с управлением государственного контракта общество в 2016 году произвело освежение материальных ценностей государственного резерва (угля и мазута) на сумму 101 293 560 рублей, в том числе 15 451 560 рублей НДС. Общество направило в адрес управления претензию с требованием о возмещении перечисленного им в бюджет НДС. Оставление требования без удовлетворения послужило основанием для обращения общества с настоящим иском в арбитражный суд. Оценив представленные в материалы дела доказательства, суды, руководствуясь положениями статей 24, 39, 146, 154, 161, 168, 171, 172 Налогового кодекса Российской Федерации, статей 2, 11, 13 Федерального закона от 29.12.1994 № 79-ФЗ «О государственном материальном резерве», правовой позицией, изложенной в пункте 12 Обзора судебной практики Верховного Суда Российской Федерации № 4 (2016), утвержденного Президиумом Верховного Суда Российской Федерации 20.12.2016, пришли к выводу об отсутствии оснований для взыскания с управления НДС, исчисленного и уплаченного обществом в бюджет по операциям закладки материальных ценностей при освежении запасов государственного резерва. Судебные инстанции исходили из того, что при проведении операции по освежению материальных ценностей государственного резерва организация передает в государственный резерв материальные ценности, а взамен получает аналогичные или однотипные материальные ценности из данного резерва, в связи с чем данная операция признается реализацией товара и объектом обложения НДС для поставщика. Каких-либо исключений, освобождающих от обложения НДС операций с материальными ценностями государственного резерва, налоговым законодательством не предусмотрено. Доводы, изложенные в кассационной жалобе, являлись предметом рассмотрения судов и получили надлежащую правовую оценку с учетом установленных по делу обстоятельств. 3 Несогласие заявителя с выводами суда, иная оценка им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«Территориальная генерирующая компания № 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