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17.12.2018, оставленным без изменения постановлением Тринадцатого арбитражного апелляционного суда от 21.05.2019, иск удовлетворен. Арбитражный суд Северо-Западного округа постановлением от 16.09.2019 решение от 17.12.2018 и постановление Тринадцатого арбитражного апелляционного суда от 21.05.2019 оставил без изменения. В кассационной жалобе терминал просит об отмене указанных судебных актов как незаконных вследствие игнорирования недобросовестных действий истца и неправильного определения состава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Требуемый в жалобе пересмотр установленных судами первой и апелляционной инстанций обстоятельств исполнения сторонами обязательств, составляющих в силу статей 15 , 393 Гражданского кодекса Российской Федерации условия для взыскания убытков, на стадии кассационного производства не производится.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«МЕЖДУНАРОДНЫЙ ТАМОЖЕННЫЙ ТЕРМИНАЛ»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"Эберспехер Выхлопные Системы РУС" (подробнее) Ответчики: ООО "Международный таможенный терминал"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