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«Люблинский литейно-механический завод» (далее – Завод) обратилось в Арбитражный суд города Москвы с иском к обществу с ограниченной ответственностью «Терминал» (далее – Общество) о взыскании штрафных санкций в размере 207 542 273 рублей 17 копеек. Решением Арбитражного суда города Москвы от 12.04.2019, оставленным без изменения постановлением Девятого арбитражного апелляционного суда от 18.07.2019 и постановлением Арбитражного суда Московского округа от 30.09.2019, исковые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договор купли- продажи заключался с целью реализации проекта строительства Транспортно- логистического центра «Люблино» (далее ТЛЦ), который был прекращена ввиду нецелесообразности. По мнению Общества, судами необоснованно отказано в удовлетворении ходатайства о снижении пени в порядке статьи 333 Гражданского кодекса Российской Федерации (далее – Гражданский кодекс), поскольку сумма, предъявленных к взысканию санкций является несоразмерной последствиям нарушенного обязательства.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Завод (продавец) и Общество (покупатель) 25.08.2014 заключили договор купли-продажи недвижимого имущества № 503 юр (далее - договор), по условиям которого продавец обязуется передать в собственность покупателю имущество, включающее здания, сооружения и долю в праве общей долевой собственности на земельный участок, согласно приложению № 1 к договору; стоимость объектов составляет 1 078 003 186 рублей (пункт 2.1 договора). Факт передачи имущества подтверждается актом приема-передачи имущества от 07.10.2014. В соответствии с пунктом 2.2 договора покупатель обязан произвести оплату стоимости объектов в два этапа: в сумме 430 003 186 рублей в течение 10 (десяти) рабочих дней с момента подписания договора; в сумме 648 000 000 в срок до 30.09.2014. Во исполнение условий договора ответчик 16.09.2014 перечислил по первому этапу денежные средства в сумме 430 003 186 рублей (платежное поручение от 16.09.2014 № 00001). При этом оплата по второму этапу в размере 648 000 000 рублей в установленный договором срок до 30.09.2014 не произведена. Между сторонами 01.10.2015 подписано дополнительное соглашение № 1, согласно которому Общество признает за собой имеющуюся перед продавцом задолженность по второму этапу оплаты в размере 648 000 000 рублей, а также обязуется оплатить продавцу штраф в размере и на условиях, предусмотренных дополнительным соглашением. Согласно пункту 2 дополнительного соглашения № 1 ответчик вносит на расчетный счет продавца денежные средства в размере 430 000 000 рублей в течение 3 (трех) банковских дней, следующих за днем подписания соглашения; в размере 266 070 793 рубля 72 копейки в срок до 31.12.2015, из которых 218 000 000 рублей сумма основного долга и 48 070 793 рубля 72 копейки – штраф за нарушение сроков оплаты стоимости объектов. Пунктом 3 дополнительного соглашения № 1 стороны изменили редакцию пункта 4.3 договора, изложив следующим образом: «В случае нарушения Покупателем срока оплаты стоимости объектов, предусмотренного п. 2.2.2. договора, покупатель уплачивает продавцу штраф в размере 48 070 793 рубля 72 копейки». В пункте 4 дополнительного соглашения № 1 стороны установили, что покупатель уплачивает продавцу пени в сумме 218 000 000 рублей, указанную в абзаце 3 пункта 2 дополнительного соглашения № 1 в размере ключевой ставки Центрального банка Российской Федерации, начиная с 05.10.2015 по 31.12.2015 включительно до полного исполнения обязательств по оплате указанной в настоящем пункте суммы. Согласно пункту 5 дополнительного соглашения № 1 в случае нарушения сумм и сроков оплаты, указанных в п. 2, 4 настоящего соглашения, п. 4.3. договора подлежит применению с 01.01.2016 на оставшуюся сумму задолженности в первоначальной редакции без применения положений п. 4 настоящего соглашения. В установленный дополнительным соглашением № 1 срок до 06.10.2015 ответчик перечислил денежные средства в сумме 430 000 000 рублей, что подтверждается платежным поручением от 05.10.2015 № 97. В обоснование заявленных требований истец указывает, что оставшуюся сумму по второму этапу в размере 218 000 000 рублей ответчик перечислил лишь 05.12.2017 (платежное поручение от 05.12.2017 № 43), т.е. с нарушением установленного дополнительным соглашением № 1 срока - 31.12.2015. Исследовав и оценив по правилам статьи 71 АПК РФ представленные доказательства, руководствуясь статьями 309 , 310 , 329 , 330 Гражданского кодекса Российской Федерации (далее – Гражданский кодекс), суды удовлетворили заявленные требования, установив несвоевременное исполнение ответчиком своих обязательств по оплате стоимости объекта, придя к выводу об отсутствии предусмотренных статьей 333 названного Кодекса оснований для уменьшения предъявленной ко взысканию неустойки.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«Терминал»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"Люблинский Литейно-Механический Завод" (подробнее) Ответчики: ООО "Терминал"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