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20.03.2019 с общества в пользу компании взыскано 797 436 руб. 40 коп. неустойки, 18 948 руб. 73 коп. расходов по уплате государственной пошлины, в удовлетворении остальной части иска отказано. Постановлением Девятого арбитражного апелляционного суда от 06.06.2019 решение суда первой инстанции изменено в части взысканных расходов по уплате государственной пошлины по иску, с общества в пользу компании взыскано 62 872 руб. расходов по уплате государственной пошлины, в остальной части решение суда оставлено без изменения. Постановлением Арбитражного суда Московского округа от 20.09.2019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обжалуемые судебные акты, суды первой и апелляционной инстанций, оценив по правилам статьи 71 Арбитражного процессуально кодекса Российской Федерации представленные в материалы дела доказательства, руководствуясь статьями 309 , 310 , 329 , 330 Гражданского кодекса Российской Федерации,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правомерности начисления компанией неустойки за ненадлежащее исполнение обществом обязательств по договору и, признав обоснованными доводы ответчика о несоразмерности неустойки, снизили ее размер на основании статьи 333 Гражданского кодекса Российской Федерации. Доводы заявителя о нарушении истцом встречных обязательств и о приостановлении ответчиком выполнения работ по договору были предметом рассмотрения судов и получили правовую оценку.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«Проектно-изыскательский и научно-исследовательский институт по проектированию энергетических систем и электрических сетей «Энергосетьпроект»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ПАО "ФСК ЕЭС" (подробнее) Ответчики: АО "Институт"ЭНЕРГОСЕТЬПРОЕКТ"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