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25.01.2019, оставленным без изменения постановлением Четвертого арбитражного апелляционного суда от 13.05.2019 и постановлением Арбитражного суда Восточно-Сибирского округа от 23.09.2019,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оплате субподрядных работ, выполненных ООО «Булык», ООО «Стройсвет» и ООО «Сибстройком», а также о необоснованном применении налоговых вычетов на основании документов, выставленных от имени указанных контрагентов. Оценив представленные в материалы дела доказательства, суды, руководствуясь положениями статей 169, 171, 172, 247,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направленности действий общества на получение из бюджета необоснованной налоговой выгоды в отсутствие реальных хозяйственных операций с заявленными в первичных документах контрагентами. Судебные инстанции исходили из того, что представленные обществом первичные документы не подтверждают реального совершения хозяйственных операций спорными контрагентами, составлены формально и не могут служить основанием для признания понесенных затрат в качестве обоснованных и документально подтвержденных расходов по налогу на прибыль организаций и применения вычетов по НДС. При этом судами установлено, что спорные контрагенты не являются реальными участниками предпринимательских отношений, не могли выполнить предусмотренные договорами работы, поскольку не осуществляют финансово-хозяйственной деятельности и не располагают необходимыми материально-техническими и трудовыми ресурсами. Кроме того, в нарушение требований заключенных с заказчиками договоров общество не извещало их о привлечении для выполнения работ субподрядных организаций. 3 Доводы, изложенные в кассационной жалобе, не опровергают выводы судов, являлись предметом их рассмотрения,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«Универсалэнергострой»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