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21.03.2019, оставленным без изменения постановлением Семнадцатого арбитражного апелляционного суда от 14.06.2019 и постановлением Арбитражного суда Уральского округа от 08.10.2019, иск удовлетворен. В кассационной жалобе общество «СибирьПромСнаб» просит о пересмотре указанных судебных актов как незаконных вследствие отсутствия оценки представленных им доказательств качества товара, недоказанности условий для взыскания убытков и несоблюдения досудебного порядка урегулирования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доказанным поставку ответчиком некачественного товара по итогу исследования и оценки доказательств исполнения договора поставки от 26.03.2018 № 19-18, к которым правильно применили нормы статей 15 , 393 , 469 , 506 , 518 Гражданского кодекса Российской Федерации. Доводы заявителя о неисследовании представленных им доказательств, неустановлении условий для взыскания убытков (наличия, размера, причинно- следственной связи с нарушением договора), отсутствии согласованного порядка направления претензий посредством мобильных сообщений и электронной почты противоречат содержанию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«СибирьПромСнаб»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"Группа Компаний "Регион-Ресурс" (подробнее) Ответчики: ООО "Сибирьпромснаб"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