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06.02.2019, оставленным без изменения постановлением Тринадцатого арбитражного апелляционного суда от 21.05.2019, в удовлетворении иска отказано. Арбитражный суд Северо-Западного округа постановлением от 19.09.2019 решение от 06.02.2019 и постановление Тринадцатого арбитражного апелляционного суда от 21.05.2019 оставил без изменения. В кассационной жалобе компания просит об отмене указанных судебных актов, ссылаясь на бездействие ответчика как собственника цистерн, повлекшее простой.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спорная сумма взыскана в деле № А40-232995/2016 с компании за нарушение ею срока оборачиваемости цистерн. Оснований для игнорирования установленных в указанном деле обстоятельств и переложения на ответчика требуемых убытков у судов не имелось.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«Кузбасская топливная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"Кузбасская Топливная Компания" (подробнее) Ответчики: ООО "ТРАНСОЙЛ"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