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1 статьи 291.2 Арбитражного процессуального кодекса Российской Федерации кассационная жалоба подается в Верховный Суд Российской Федерации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Арбитражным процессуальным кодексом Российской Федерации. В соответствии с частью 2 названной статьи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2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Настоящая кассационная жалоба направлена заявителем в Верховный Суд Российской Федерации 30.12.2019, то есть по истечении как двухмесячного процессуального срока на обжалование судебного акта, так и пресекательного шестимесячного срока, в пределах которого срок подачи кассационной жалобы может быть восстановлен. Из обжалуемого постановления суда округа следует, что предприниматель являлась инициатором обжалования судебных актов судов первой и апелляционной инстанций, постановление суда округа своевременно опубликовано в общедоступной базе «Картотека арбитражных дел». При изложенных обстоятельствах жалоба подлежит возвращению без рассмотрения по существу.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Ерохно Екатерины Анатольевны о восстановлении пропущенного срока отказать, кассационную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