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29.03.2019, оставленным без изменения постановлением Девятого арбитражного апелляционного суда от 10.07.2019 и постановлением Арбитражного суда Московского округа от 14.10.2019,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кассационных жалоб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397 , 702 , 711 , 753 Гражданского кодекса российской Федерации, суды первой и апелляционной инстанций пришли к выводу об отсутствии оснований для удовлетворения исковых требований, исходя из недоказанности обществом факта выполнения спорных работ. С указанными выводами впоследствии согласился суд округа. Доводы кассационной жалобы не опровергают выводы судов,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«Брянский завод металлоконструкций и технологической оснастки»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"Брянский завод металлоконструкций и технологической оснастки" (подробнее) Ответчики: АО "Газовые системы"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