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21.12.2018, оставленным без изменения постановлениями Тринадцатого арбитражного апелляционного суда от 23.05.2019 и Арбитражного суда Северо-Западного округа от 30.09.2019,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поставку и установку цветочных конструкций, вазонов, цветочных ящиков для государственных нужд Санкт-Петербурга, в связи с чем на него возложена обязанность представить подписанный проект государственного контракта и документ, подтверждающий предоставление обеспечения контракта. Поскольку заявителем не исполнена обязанность по заключению контракта в установленные законом сроки, учреждением (заказчик) принято решение о признании общества уклонившимся от заключения контракта. По результатам рассмотрения жалобы общества на указанные действия заказчика антимонопольным органом принято обжалуемое решение о признании жалобы необоснованной.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стаей 1, 6, 70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суды пришли к выводу о соответствии ненормативного акта действующему законодательству с учетом установленных обстоятельств по делу. При этом судебные инстанции исходили из того, что в установленный законом срок проект контракта, подписанный лицом, имеющим право действовать от имени общества, а также документ, подтверждающий предоставление обеспечения исполнения контракта и подписанный усиленной электронной подписью указанного лица, в единой информационной системе (далее - ЕИС) размещены не были, в связи с чем единая комиссия заказчика правомерно признала общество уклонившимся от заключения контракта. Суды установили, что размещенный обществом в ЕИС подписанный усиленной электронной подписью документ в виде файла «протокол разногласий к. docx», в котором указано: «Направляем протокол разногласий для получения дополнительного времени для согласования банковской гарантии», по своему содержанию не является протоколом разногласий (в нем не указаны положения контракта, не соответствующие извещению и документации об электронном аукционе; фактически размещение указанного документа было направлено для получения дополнительного времени для согласования проекта банковской гарантии). Суды отметили, что предъявление необоснованных и не предусмотренных Законом о контрактной системе разногласий не может служить основанием для увеличения срока на размещение подписанного проекта контракта и означает отказ победителя от заключения государственного контракта на установленных условиях. Доводы, изложенные в кассационной жалобе, основаны на ином толковании и применении положений законодательства, направлены на переоценку установленных фактических обстоятельств дела и представленных в материалы дела доказательств и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"Стройсервис"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