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31.07.2018 в удовлетворении иска отказано. Постановлением Девятого арбитражного апелляционного суда от 30.05.2019, оставленным без изменения постановлением Арбитражного суда Московского округа от 16.09.2019, решение от 31.07.2018 отменено: взыскано 874 540 рублей задолженности и 85 847 рублей 47 копеек процентов за пользование чужими денежными средствами удовлетворены, в остальной части иска отказано в связи с истечением срока исковой давности, о применении которой заявил ответчик. В кассационной жалобе общество «Регион-Центр» просит об отмене судебных актов апелляционного и окружного судов как незаконных, указывая на перерыв вследствие заключения новых договоров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определении начала течения срока исковой давности суд апелляционной инстанции руководствовался не моментом заключения договоров, а заявленным истцом периодом хранения и согласованным сторонами сроком оплаты услуг по хранению. Такое определение начала течения срока исковой давности соответствует статье 196 и правилу пункта 2 статьи 200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«Регион-Центр»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