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19.02.2019, оставленным без изменения постановлением Семнадцатого арбитражного апелляционного суда от 27.05.2019 и постановлением Арбитражного суда Уральского округа от 20.09.2019, исковые требования удовлетворены. В кассационной жалобе общество «Пикалевская сода» просит о пересмотре судебных актов вследствие нарушения норм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«Пикалевская сода»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Арбитражный суд Уральского округа (подробнее) ООО "Геркон" (подробнее) Ответчики: АО ПИКАЛЁВСКАЯ СОДА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