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08.05.2019, оставленным без изменения постановлением Четвертого арбитражного апелляционного суда от 16.07.2019, в удовлетворении первоначального и встречного исков отказано. Арбитражный суд Восточно-Сибирского округа постановлением от 30.10.2019 решение от 08.05.2019 и постановление Четвертого арбитражного апелляционного суда от 16.07.2019 оставил без изменения. В кассационной жалобе предприниматель просит об отмене указанных судебных актов вследствие ненадлежащей оценки доказательств наличия правоотношений по займу.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 и применив к ним статьи 807 , 808 , 810 Гражданского кодекса Российской Федерации и нормы Федерального закона от 06.12.2011 № 402-ФЗ «О бухгалтерском учете», суды не установили факта заключения сторонами договора займа от 19.01.2011 и передачи требуемых к взысканию по встречному иску денежных средств. Довод предпринимателя о неисследовании доказательств наличия займа опровергается содержанием судебных актов, выводы которых основаны на представленных сторонами доказательствах.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"Финансово-строительная компания "Новый город" (подробнее) Ответчики: ИП Калугина Е.А. (подробнее) Судьи дела: Ксенофонтова Н.А. (судья) (подробнее)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