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26.01.2018 утверждено мировое соглашение между Чернаковым В.И. и его кредиторами, производство по делу прекращено. Павлов С.П. обратился в суд с заявлением о расторжении ранее утверждённого судом мирового соглашения в связи с неисполнением по нему обязательств. Определением Арбитражного суда города Москвы от 27.05.2019, оставленным без изменения постановлениями Девятого арбитражного апелляционного суда от 12.08.2019 и Арбитражного суда Московского округа от 22.10.2019, заявление оставлено без удовлетворения. В кассационной жалобе, поданной в Верховный Суд Российской Федерации, заявитель просит отменить указанные судебные акты, направить вопрос на новое рассмотрение или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150, 156, 164, 166 Федерального закона от 26.10.2002 № 127-ФЗ «О несостоятельности (банкротстве)», пунктами 13 и 14 постановления Пленума высшего Арбитражного Суда Российской Федерации от 18.07.2014 № 50 «О примирении сторон в арбитражном процессе» и указали на отсутствие доказательств неисполнения условий мирового соглашения, согласованного и одобренного большинством голосов кредиторов на соответствующем собрании, отметив направленность требования заявителя на исполнение обязательств, не предусмотренных данным мировым соглашением.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Павлову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