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31.05.2019, постановление Девятого арбитражного апелляционного суда от 20.08.2019 и постановление Арбитражного суда Московского округа от 13.11.2019 по делу № А40-175039/2018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