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К документам, устанавливающим имущественное положение заинтересованной стороны, относятся: 2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открыты. Представленный документ – сведения о рублевых счетах в банках и иных кредитных учреждениях, изготовленный и подписанный заявителем, не является надлежащим доказательством, подтверждающим наличие расчетных и иных счетов на момент подачи жалобы. Таким образом, надлежащих доказательств, свидетельствующих о том, что имущественное положение заявителя на момент подачи жалобы не позволяет ему уплатить при обращении с кассационной жалобой государственную пошлину в установленном размере, не представлено.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«Назар»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«Назар» на решение Арбитражного суда Республики Дагестан от 06.05.2019 по делу № А15-258/2019, постановление Шестнадцатого арбитражного апелляционного суда от 28.08.2019 и постановление Арбитражного суда Северо-Кавказского округа от 18.12.2019 по тому же делу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