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13.02.2019, оставленным без изменения постановлением Первого арбитражного апелляционного суда от 06.05.2019, в удовлетворении заявленного требования отказано. Постановлением Арбитражного суда Волго-Вятского округа от 13.09.2019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Отказывая в удовлетворении заявленных требований, суды исходили из того, что предприниматель пропустил срок на обжалование постановления, наличия объективных и уважительных причин пропуска срока не установлено. Выводы судов не противоречат правовой позиции, изложенной в определениях Конституционного Суда Российской Федерации от 29.05.2019 № 1449-О, № 1454-О Приведенные в жалобе доводы о наличии уважительных причин пропуска срока были предметом рассмотрения судов и им дана исчерпывающая правовая оценка в оспариваемых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Приволжское межрегиональное управление государственного автодорожного надзора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