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20.12.2018, оставленным без изменения постановлением Шестнадцатого арбитражного апелляционного суда от 19.03.2019, заявленные требования удовлетворены. Постановлением Арбитражного суда Северо-Кавказского округа от 31.05.2019 указанные судебные акты отменены, дело направлено на новое рассмотрение в суд первой инстанции. 2 При новом рассмотрении дела определением Арбитражного суда Ставропольского края от 14.06.2019, оставленным без изменения постановлением Шестнадцатого арбитражного апелляционного суда от 13.09.2019, заявление общества о принятии обеспечительных мер частично удовлетворено, действие оспариваемого решения налогового органа в части доначисления 7 073 085 рублей налога на добавленную стоимость, начисления соответствующих сумм пеней и штрафа приостановлено до рассмотрения дела по существу и вступления в законную силу решения суда. Постановлением Арбитражного суда Северо-Кавказского округа от 17.11.2019 указанные судебные акты отменены, в удовлетворении заявления о принятии обеспечительных мер отказано. В кассационной жалобе, поступившей в Верховный Суд Российской Федерации, общество просит отменить обжалуемое постановление суда округа, ссылаясь на допущенные, по его мнению, нарушения норм процессуального права.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Как следует из судебных актов, налоговый орган начислил налог на добавленную стоимость, ссылаясь на участие общества в формальном документообороте с контрагентом в отсутствие реальной хозяйственной деятельности, связанной с поставкой товара (виноградного сусла). Отменяя судебные акты судов первой и апелляционной инстанций, и отказывая в удовлетворении заявления общества о принятии обеспечительных мер, суд округа руководствовался положениями главы 8 Арбитражного 3 процессуального кодекса Российской Федерации,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мер». При этом суд округа исходил из того, что суды приняли обеспечительные меры в отсутствие доказательств того, что непринятие таких мер может затруднить или сделать невозможным исполнение судебного акта, а также без подтверждения, что заявленные обеспечительные меры необходимы для предотвращения ущерба. Дополнительно суд округа указал на приводимые налоговым органом доводы о высокой вероятности совершения обществом недобросовестных действий. Поскольку обеспечительные меры являются ускоренным средством защиты, вопреки доводам жалобы общества для их принятия не требуется представления доказательств в объеме, необходимом для обоснования требований и возражений стороны по существу спора. На основании изложенного приведенные в жалобе доводы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