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20.02.2019, оставленным без изменения постановлением Тринадцатого арбитражного апелляционного суда от 16.06.2019 и постановлением Арбитражного суда Северо-Западного округа от 05.09.2019,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учитывая обстоятельства, установленные вступившим в законную силу решением Арбитражного суда города Санкт-Петербурга и Ленинградской области от 27.10.2017 по делу № А56-77498/2015, руководствуясь статьями 309, 310, 395, 702 Гражданского кодекса Российской Федерации, разъяснениями, приведенными в пункте 48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оснований для начисления ответчику процентов за пользование чужими денежными средствами и, проверив и признав верным расчет истца, удовлетворили иск в полном объеме.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«С-Стиль»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