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Научно-промышленная геофизическая компания «Росгео» обратилось в Арбитражный суд Самарской области с иском о взыскании с публичного акционерного общества «Самаранефтегеофизика» 6 301 908 рублей убытков в виде упущенной выгоды, 54 510 рублей расходов по уплате государственной пошлины и 40 000 рублей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акционерное общество «Самаранефтегаз». Решением Арбитражного суда Самарской области от 29.04.2019 в удовлетворении иска отказано. Постановлением Одиннадцатого арбитражного апелляционного суда от 04.07.2019 решение суда первой инстанции оставлено без изменения. Арбитражный суд Поволжского округа постановлением от 29.10.2019 указанные судебные акты оставил без изменения. Общество с ограниченной ответственностью Научно-промышленная геофизическая компания «Росгео»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суды пришли к выводу о недоказанности истцом наличия причинно-следственной связи между действиями (бездействием) ответчика и убытками в виде упущенной выгоды, размера неполученного дохода и возможности его получения.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 промышленная геофизическая компания «Росгео»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НПГК "Росгео" (подробнее) Ответчики: ПАО "Самаранефтегеофизика"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