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01.08.2019 и оставленным без изменения постановлением Десятого арбитражного апелляционного суда от 19.09.2019, принят отказ компании от иска в части требования о взыскании 169 200 руб. неосновательного обогащения, производство по делу в указанной части прекращено; с общества в пользу компании взыскано 10 584 руб. 27 коп. процентов за пользование чужими денежными средствами; в удовлетворении остальной части требований отказано. В кассационной жалобе, поданной в Верховный Суд Российской Федерации, компания, ссылаясь на нарушение судами норм материального права, просит отменить указанные судебные акты в части отказа во взыскании убытков и принять в этой части новый судебный акт об их взыскании.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Гражданского кодекса Российской Федерации, разъяснениями, приведенными в пункте 12 постановления Пленума Верховного Суда Российской Федерации от23.06.2015 № 25 «О применении судами некоторых положений раздела I части первой Гражданского кодекса Российской Федерации», пришли к выводу об отсутствии оснований для удовлетворения требования компании о взыскании убытков ввиду недоказанности ею противоправности в действиях общества и причинно-следственной связи между его действиями и убытками истца.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«Энергосбытовая компания «Независимость»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"Энергосбытовая компания "Независимость" (подробнее) Ответчики: АО "ЭНЕРГОЦЕНТР"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