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Климченко Светлана Викторовна обратилась в суд с заявлением о включении требования о передаче жилого помещения (двухкомнатная квартира в многоквартирном жилом доме № 3 подъезд № 2, этаж № 2, квартира № 4 (условно) по порядку квартир на этаже слева направо площадью 61,19 кв.м (состоящей из общей площади 59,64 кв.м и площади лоджии 1,55 кв.м с учетом понижающего коэффициента 0,5), расположенной по адресу: Хабаровский край, г. Хабаровск, Краснофлотский район, примерно в 108 метрах по направлению на северо-восток от ориентира: ул. Парк Мира, д. 14) в реестр требований кредиторов должника. Определением Арбитражного суда Хабаровского края от 20.05.2019, оставленным без изменения постановлениями Шестого арбитражного апелляционного суда от 15.07.2019 и Арбитражного суда Дальневосточного округа от 20.09.2019, требование включено в реестр как неоплаченное по договору долевого участия в строительстве от 26.01.2017 № 3/142 (далее – договор) с размером неисполненных перед должником обязательств в сумме 3 549 020 рублей. В кассационной жалобе, поданной в Верховный Суд Российской Федерации, заявитель просит отменить названные судебные акты в части указания на включение в реестр её требования как неоплаченного по договору в строительстве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166, 167, 384, 388 Гражданского кодекса Российской Федерации, статьями 61.1, 71, 100, 142, 201.1 – 201.7 Федерального закона от 26.10.2002 № 127-ФЗ «О несостоятельности (банкротстве)», исходили из фактических обстоятельств, связанных с признанием недействительными условий договора долевого участия, а также недоказанности фактической оплаты жилого помещения, в связи с чем, пришли к правильному выводу об отсутствии оснований для учёта в соответствующем реестре требования заявителя как оплаченного.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Климченко Светлане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