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Цынгунова Ольга Олеговна обратилась в суд с заявлением об утверждении Положения о порядке, условиях и сроках продажи имущества должника (далее – положение о продаже имущества должника) с установлением начальной продажной цены в размере 7 717 000 рублей. Определением Арбитражного суда Тверской области от 08.04.2019, оставленным без изменения постановлениями Четырнадцатого арбитражного апелляционного суда от 28.06.2019 и Арбитражного суда Северо- Западного округа от 14.10.2019, заявление удовлетворено. Положение о продаже имущества должника утверждено в предложенной финансовым управляющим редакции, начальная продажная цена имущества утверждена в размере 7 717 000 рублей.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18.1, 110, 138, 139, 213.26 Федерального закона от 26.10.2002 № 127-ФЗ «О несостоятельности (банкротстве)», пунктом 9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исходили из того, что предложенный финансовым управляющим вариант положения о продаже имущества должника не противоречит положениям законодательства о банкротстве, а результаты оценки названного имущества не были обжалованы и недействительными не признаны. Отклоняя возражения заявителя о занижении цены продажи имущества со ссылкой на результаты экспертизы, проведённой в рамках дела № 2-618/2016 и отражённой в соответствующем решении Центрального районного суда города Твери по данному делу, суды указали, что данная экспертиза проведена за три года до рассмотрения настоящего обособленного спора, не может отражать действительную стоимость имущества по состоянию на 2019 год, то есть утратила свою актуальность. Ходатайства о назначении судебной экспертизы в рамках настоящего спора по определению рыночной стоимости имущества должником не заявлено. Содержащиеся в жалобе доводы заявителя об отсутствии в Едином федеральном реестре сведений о банкротстве публикаций о проведении собрания кредиторов с соответствующей повесткой дня, решения о проведении оценки имущества и самого отчёта об оценке, в том числе, об её ненадлежащем уведомлении о рассмотрении настоящего обособленного спора и переносе судебного заседания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Полейцевой Наталье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