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«Акцио» обратилось в Арбитражный суд Пермского края с иском о взыскании с общества с ограниченной ответственностью «Белый камень» 50 000 рублей долга по договору об оказании юридических услуг от 05.06.2017 № 7/2017 и 750 000 рублей неустойки. Решением Арбитражного суда Пермского края от 18.03.2019 иск удовлетворен в части взыскания 750 000 рублей неустойки. Постановлением Семнадцатого арбитражного апелляционного суда от 21.06.2019 решение суда первой инстанции оставлено без изменения. Арбитражный суд Уральского округа постановлением от 25.09.2019 указанные судебные акты оставил без изменения. Общество с ограниченной ответственностью «Белый камень»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фактическое поведение сторон, истолковав условия договора, руководствуясь положениями статей 310 , 421 , 431 , 782 Гражданского кодекса Российской Федерации, суды пришли к выводу о наличии оснований для выплаты заказчиком исполнителю предусмотренной договором определенной денежной суммы в качестве компенсации за досрочное прекращение договора в связи с односторонним отказом заказчика от исполнения договора. Доводы жалобы, с учетом установленных судами фактических обстоятельств,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«Белый камень»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"АКЦИО" (подробнее) Ответчики: ООО "Белый камень"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