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2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компанией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«Авиакомпания Байкал Аэро» удовлетворить. Срок подачи кассационной жалобы на решение Арбитражного суда Республики Бурятия от 11.02.2019, постановление Четвертого арбитражного апелляционного суда от 05.06.2019 и постановление Арбитражного суда Восточно-Сибирского округа от 22.10.2019 по делу № А10-2477/2018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