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(далее – конкурсный управляющий) обратился в суд с заявлением о признании недействительными сделками банковских операций, проведенных 07.07.2017 по счёту общества: получение Якушевой Ириной Васильевной в кассе банка денежных средств в размере 215 600 рублей с назначением платежа «Выдачи на заработную плату (за июль 2017) 215 600»; перевод денежных средств в размере 2 700 000 руб. на счёт Управления Федерального казначейства по Московской области (Межрайонная ИФНС России № 20 по Московской области) № 40101810845250010102, открытый в ГУ БАНКА РОССИИ ПО ЦФО. с назначением платежа «Оплата НДС за 1 квартал 2017 г. НДС не облагается». Определением Арбитражного суда города Москвы от 11.04.2019 в удовлетворении заявления отказано. Постановлением Девятого арбитражного апелляционного суда от 09.07.2019, оставленным без изменения постановлениями Арбитражного суда Московского округа от 24.09.2019, вышеуказанное определение отменено, заявление конкурсного управляющего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силу.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совершения сделок с оказанием обществу предпочтения после принятия заявления о признании должника банкротом за пределами обычной хозяйственной деятельности должника и при наличии у последнего признаков несостоятельности, при этом верно применив последствия их недействительности.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механизации и автотранспорта ММУС»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