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признании недействительными сделками соглашения от 30.06.2017 № ВМП-323 о досрочном предъявлении векселя к платежу и девяти банковских операций от 30.06.2017 по перечислению денежных средств, применении последствий недействительности сделок. Определением Арбитражного суда города Москвы от 05.04.2019, оставленным без изменения постановлениями Девятого арбитражного апелляционного суда от 24.06.2019 и Арбитражного суда Московского округа от 24.09.2019,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61.3, 189.40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наличия оснований для признания недействительными оспариваемых сделок, совершённых с оказанием предпочтения отдельным лицам по отношению к иным кредиторам, ожидающим исполнения своих требований, что свидетельствовало о выходе указанных сделок за пределы обычной хозяйственной деятельности, при этом правомерно применив последствия их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Медведю Юрию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