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открытое акционерное общество «Российские железные дороги» обратилось в Арбитражный суд Мурманской области с иском о взыскании с акционерного общества «Ковдорский горно-обогатительный комбинат» 4 458 690 рублей штрафа за превышение грузоподъемности вагонов № 62830880, 61910063, 61674578, 60396751, 61607040, 54492541, 62488770, 60154341, 62167663, направленных с грузом железорудного концентрата в адрес Хэйлунцзянской международной торговой компании «Сянлун» (Китайская Народная Республика), и 3 485 070 рублей штрафа за занижение провозной платы вагонов № 62830880, 61910063, 61674578, 60396751, 61607040, 54492541, 62488770. Решением Арбитражного суда Мурманской области от 04.04.2019 иск удовлетворен в части взыскания 4 807 190 рублей штрафа; в удовлетворении иска в остальной части отказано. Постановлением Тринадцатого арбитражного апелляционного суда от 15.07.2019 решение суда первой инстанции оставлено без изменения. 2 Арбитражный суд Северо-Западного округа постановлением от 16.10.2019 указанные судебные акты оставил без изменения. Акционерное общество «Ковдорский горно-обогатительный комбинат»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учитывая обстоятельства конкретной перевозки, руководствуясь статьями 16, 23 Соглашения о международном железнодорожном грузовом сообщении от 01.11.1951, статьями 785, 793 Гражданского кодекса Российской Федерации, статьями 26, 27 Федерального закона от 10.01.2003 № 18-ФЗ «Устав железнодорожного транспорта Российской Федерации», Правилами составления актов при перевозках грузов железнодорожным транспортом, утвержденными приказом Министерства путей сообщения Российской Федерации от 18.06.2003 № 45, Рекомендациями МИ 3115-2008, суды пришли к выводам о доказанности фактов искажения сведений о массе груза и превышения грузоподъемности вагонов, повлекших занижение провозной платы и влияющих на безопасность движения и эксплуатацию железнодорожного транспорта, непредставлении ответчиком доказательств того, что выявленные расхождения в массе груза не превысили допустимую погрешность, которая определяется исходя из сложившихся коммерческих обычаев, свойств груза, а также обстоятельств конкретной перевозки, признав обоснованным расчет штрафов и применив положения статьи 333 Гражданского кодекса Российской Федерации ввиду явной несоразмерности подлежащей взысканию неустойки последствиям нарушения обязательств. 3 Доводы жалобы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«Ковдорский горно-обогатительный комбинат»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