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Тюменской области от 14.03.2019, оставленным без изменения постановлением Восьмого арбитражного апелляционного суда от 27.05.2019, учреждение привлечено к административной ответственности, предусмотренной частью 4 статьи 14.1 Кодекса Российской Федерации об административных правонарушениях, и ему назначено наказание в виде штрафа в размере 100 000 рублей. 2 Постановлением Арбитражного суда Западно-Сибирского округа от 24.09.2019 указанные судебные акты оставлены без изменения. Учреждение обратилось в Верховный Суд Российской Федерации с кассационной жалобой на принятые по делу судебные акты, ссылаясь на допущенные, по его мнению, существенные нарушения норм материального и процессуального права.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административный орган выявил факт нарушения учреждением лицензионных требований при осуществлении образовательной деятельности по подготовке водителей транспортных средств в отсутствие заключения уполномоченного органа о соответствии учебно- материальной базы установленным требованиям. Установив, что вышеуказанные нарушения являются грубым нарушением лицензионных требований, административный орган составил протокол по части 4 статьи 14.1 Кодекса Российской Федерации об административных правонарушениях и обратился в арбитражный суд с соответствующим заявлением. Оценив представленные доказательства, суды пришли к выводу о наличии в действиях учреждения состава правонарушения, ответственность за 3 совершение которого предусмотрена частью 4 статьи 14.1 Кодекса Российской Федерации об административных правонарушениях. Процедура и срок давности привлечения к административной ответственности соблюдены. Административное наказание в виде штрафа назначено в пределах санкции нормы. Оснований для квалификации правонарушения в качестве малозначительного суды не усмотрели. Приведенные в жалобе доводы были предметом рассмотрения судов и им дана исчерпывающая правовая оценка в оспариваемых судебных актах, не согласиться с которой оснований не имеется. Доводов, подтверждающих существенные нарушения норм материального и процессуального права, которые могли повлиять на исход дела и являются достаточным основанием для пересмотра обжалуемых судебных актов в кассационном порядке, не приведено.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